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32AD6" w14:textId="77777777" w:rsidR="00E572D3" w:rsidRPr="00E572D3" w:rsidRDefault="00E572D3" w:rsidP="00E572D3">
      <w:pPr>
        <w:tabs>
          <w:tab w:val="left" w:pos="993"/>
        </w:tabs>
        <w:ind w:firstLine="709"/>
        <w:jc w:val="right"/>
        <w:rPr>
          <w:bCs/>
          <w:kern w:val="3"/>
          <w:sz w:val="24"/>
          <w:szCs w:val="24"/>
          <w:lang w:val="ro-RO"/>
        </w:rPr>
      </w:pPr>
      <w:r w:rsidRPr="00E572D3">
        <w:rPr>
          <w:bCs/>
          <w:kern w:val="3"/>
          <w:sz w:val="24"/>
          <w:szCs w:val="24"/>
          <w:lang w:val="ro-RO"/>
        </w:rPr>
        <w:t>Anexa nr. 6</w:t>
      </w:r>
    </w:p>
    <w:p w14:paraId="263F32AE" w14:textId="77777777" w:rsidR="00E572D3" w:rsidRPr="00E572D3" w:rsidRDefault="00E572D3" w:rsidP="00E572D3">
      <w:pPr>
        <w:tabs>
          <w:tab w:val="left" w:pos="993"/>
        </w:tabs>
        <w:ind w:firstLine="709"/>
        <w:jc w:val="right"/>
        <w:rPr>
          <w:b/>
          <w:kern w:val="3"/>
          <w:sz w:val="24"/>
          <w:szCs w:val="24"/>
          <w:lang w:val="ro-RO"/>
        </w:rPr>
      </w:pPr>
    </w:p>
    <w:p w14:paraId="6187F601" w14:textId="77777777" w:rsidR="00E572D3" w:rsidRPr="00E572D3" w:rsidRDefault="00E572D3" w:rsidP="00E572D3">
      <w:pPr>
        <w:tabs>
          <w:tab w:val="left" w:pos="993"/>
        </w:tabs>
        <w:ind w:firstLine="709"/>
        <w:jc w:val="center"/>
        <w:rPr>
          <w:b/>
          <w:kern w:val="3"/>
          <w:sz w:val="24"/>
          <w:szCs w:val="24"/>
          <w:lang w:val="ro-RO"/>
        </w:rPr>
      </w:pPr>
      <w:r w:rsidRPr="00E572D3">
        <w:rPr>
          <w:b/>
          <w:kern w:val="3"/>
          <w:sz w:val="24"/>
          <w:szCs w:val="24"/>
          <w:lang w:val="ro-RO"/>
        </w:rPr>
        <w:t>Informații care trebuie incluse în anunțul de participare</w:t>
      </w:r>
    </w:p>
    <w:p w14:paraId="37F5786E" w14:textId="77777777" w:rsidR="00E572D3" w:rsidRPr="00E572D3" w:rsidRDefault="00E572D3" w:rsidP="00E572D3">
      <w:pPr>
        <w:tabs>
          <w:tab w:val="left" w:pos="993"/>
        </w:tabs>
        <w:ind w:firstLine="709"/>
        <w:rPr>
          <w:b/>
          <w:kern w:val="3"/>
          <w:sz w:val="24"/>
          <w:szCs w:val="24"/>
          <w:lang w:val="ro-RO"/>
        </w:rPr>
      </w:pPr>
    </w:p>
    <w:p w14:paraId="5F19D54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 Denumirea, numărul de identificare de stat (IDNO), adresa fizică, codul NUTS, numărul de telefon, numărul de fax, adresa de e-mail și cea de internet ale autorității contractante și, dacă sunt diferite, cele ale</w:t>
      </w:r>
      <w:r w:rsidRPr="00E572D3">
        <w:rPr>
          <w:b/>
          <w:bCs/>
          <w:sz w:val="24"/>
          <w:szCs w:val="24"/>
          <w:lang w:val="ro-RO" w:eastAsia="en-GB"/>
        </w:rPr>
        <w:t xml:space="preserve"> </w:t>
      </w:r>
      <w:r w:rsidRPr="00E572D3">
        <w:rPr>
          <w:bCs/>
          <w:sz w:val="24"/>
          <w:szCs w:val="24"/>
          <w:lang w:val="ro-RO" w:eastAsia="en-GB"/>
        </w:rPr>
        <w:t>biroului de la care pot fi obținute informații suplimentare.</w:t>
      </w:r>
    </w:p>
    <w:p w14:paraId="7D18AD6E"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 Adresa de e-mail sau cea de internet de la care se va putea obține accesul liber, direct, total și gratuit la documentația de atribuire.</w:t>
      </w:r>
    </w:p>
    <w:p w14:paraId="36C25996"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În cazul în care nu se asigură accesul liber, direct, total și gratuit la documentația de atribuire, o mențiune privind modul în care poate fi accesată documentația respectivă.</w:t>
      </w:r>
    </w:p>
    <w:p w14:paraId="58F39673"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3. Tipul autorității contractante și obiectul principal de activitate.</w:t>
      </w:r>
    </w:p>
    <w:p w14:paraId="13DF9425" w14:textId="77777777" w:rsidR="00E572D3" w:rsidRPr="00E572D3" w:rsidRDefault="00E572D3" w:rsidP="00E572D3">
      <w:pPr>
        <w:widowControl w:val="0"/>
        <w:tabs>
          <w:tab w:val="left" w:pos="90"/>
          <w:tab w:val="left" w:pos="993"/>
        </w:tabs>
        <w:ind w:firstLine="709"/>
        <w:rPr>
          <w:bCs/>
          <w:sz w:val="24"/>
          <w:szCs w:val="24"/>
          <w:lang w:val="ro-RO" w:eastAsia="en-GB"/>
        </w:rPr>
      </w:pPr>
      <w:r w:rsidRPr="00E572D3">
        <w:rPr>
          <w:bCs/>
          <w:sz w:val="24"/>
          <w:szCs w:val="24"/>
          <w:lang w:val="ro-RO" w:eastAsia="en-GB"/>
        </w:rPr>
        <w:t xml:space="preserve">4. Dacă este cazul, mențiunea că autoritatea contractantă este o autoritate centrală de achiziții sau că achiziția </w:t>
      </w:r>
      <w:r w:rsidRPr="00E572D3">
        <w:rPr>
          <w:rFonts w:eastAsia="Calibri"/>
          <w:bCs/>
          <w:iCs/>
          <w:sz w:val="24"/>
          <w:szCs w:val="24"/>
          <w:lang w:val="ro-RO"/>
        </w:rPr>
        <w:t>publică</w:t>
      </w:r>
      <w:r w:rsidRPr="00E572D3">
        <w:rPr>
          <w:bCs/>
          <w:sz w:val="24"/>
          <w:szCs w:val="24"/>
          <w:lang w:val="ro-RO" w:eastAsia="en-GB"/>
        </w:rPr>
        <w:t xml:space="preserve"> implică o altă formă de achiziție comună.</w:t>
      </w:r>
    </w:p>
    <w:p w14:paraId="0343052B"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5. Codurile CPV; în cazul în care contractul de achiziție </w:t>
      </w:r>
      <w:r w:rsidRPr="00E572D3">
        <w:rPr>
          <w:rFonts w:eastAsia="Calibri"/>
          <w:bCs/>
          <w:iCs/>
          <w:sz w:val="24"/>
          <w:szCs w:val="24"/>
          <w:lang w:val="ro-RO"/>
        </w:rPr>
        <w:t>publică</w:t>
      </w:r>
      <w:r w:rsidRPr="00E572D3">
        <w:rPr>
          <w:bCs/>
          <w:sz w:val="24"/>
          <w:szCs w:val="24"/>
          <w:lang w:val="ro-RO" w:eastAsia="en-GB"/>
        </w:rPr>
        <w:t xml:space="preserve"> este împărțit în loturi, aceste informații trebuie furnizate pentru fiecare lot.</w:t>
      </w:r>
    </w:p>
    <w:p w14:paraId="3D29FF2A" w14:textId="77777777" w:rsidR="00E572D3" w:rsidRPr="00E572D3" w:rsidRDefault="00E572D3" w:rsidP="00E572D3">
      <w:pPr>
        <w:ind w:firstLine="709"/>
        <w:rPr>
          <w:rFonts w:ascii="Arial" w:hAnsi="Arial" w:cs="Arial"/>
          <w:sz w:val="24"/>
          <w:szCs w:val="24"/>
          <w:lang w:val="ro-RO" w:eastAsia="ro-RO"/>
        </w:rPr>
      </w:pPr>
      <w:r w:rsidRPr="00E572D3">
        <w:rPr>
          <w:bCs/>
          <w:sz w:val="24"/>
          <w:szCs w:val="24"/>
          <w:lang w:val="ro-RO" w:eastAsia="en-GB"/>
        </w:rPr>
        <w:t xml:space="preserve">6. Codul NUTS al locului principal de execuție a lucrărilor, în cazul contractelor de achiziții publice de lucrări, ori codul NUTS al locului principal de furnizare sau de prestare, în cazul contractelor de achiziții publice de bunuri sau de servicii. În cazul în care contractul este împărțit în loturi, aceste informații trebuie furnizate pentru fiecare lot. </w:t>
      </w:r>
    </w:p>
    <w:p w14:paraId="0F2EBF1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7. Descrierea achiziției</w:t>
      </w:r>
      <w:r w:rsidRPr="00E572D3">
        <w:rPr>
          <w:rFonts w:eastAsia="Calibri"/>
          <w:bCs/>
          <w:iCs/>
          <w:sz w:val="24"/>
          <w:szCs w:val="24"/>
          <w:lang w:val="ro-RO"/>
        </w:rPr>
        <w:t xml:space="preserve"> publice</w:t>
      </w:r>
      <w:r w:rsidRPr="00E572D3">
        <w:rPr>
          <w:bCs/>
          <w:sz w:val="24"/>
          <w:szCs w:val="24"/>
          <w:lang w:val="ro-RO" w:eastAsia="en-GB"/>
        </w:rPr>
        <w:t>: natura și cantitatea sau valoarea bunurilor, natura și amploarea serviciilor și ale lucrărilor.  În cazul în care contractul este împărțit în loturi, aceste informații trebuie furnizate pentru fiecare lot.</w:t>
      </w:r>
      <w:r w:rsidRPr="00E572D3">
        <w:rPr>
          <w:rFonts w:eastAsia="Calibri"/>
          <w:sz w:val="24"/>
          <w:szCs w:val="24"/>
          <w:lang w:val="ro-RO"/>
        </w:rPr>
        <w:t xml:space="preserve"> </w:t>
      </w:r>
      <w:r w:rsidRPr="00E572D3">
        <w:rPr>
          <w:bCs/>
          <w:sz w:val="24"/>
          <w:szCs w:val="24"/>
          <w:lang w:val="ro-RO" w:eastAsia="en-GB"/>
        </w:rPr>
        <w:t>Dacă este cazul, descrierea opțiunilor.</w:t>
      </w:r>
    </w:p>
    <w:p w14:paraId="0F665F47"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8. Valoarea totală estimată a contractului de achiziție </w:t>
      </w:r>
      <w:r w:rsidRPr="00E572D3">
        <w:rPr>
          <w:rFonts w:eastAsia="Calibri"/>
          <w:bCs/>
          <w:iCs/>
          <w:sz w:val="24"/>
          <w:szCs w:val="24"/>
          <w:lang w:val="ro-RO"/>
        </w:rPr>
        <w:t>publică</w:t>
      </w:r>
      <w:r w:rsidRPr="00E572D3">
        <w:rPr>
          <w:bCs/>
          <w:sz w:val="24"/>
          <w:szCs w:val="24"/>
          <w:lang w:val="ro-RO" w:eastAsia="en-GB"/>
        </w:rPr>
        <w:t>/contractelor de achiziții publice; în cazul în care contractul este împărțit în loturi, aceste informații trebuie furnizate pentru fiecare lot.</w:t>
      </w:r>
    </w:p>
    <w:p w14:paraId="6561F2EB"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9. Admiterea sau interzicerea ofertelor alternative.</w:t>
      </w:r>
    </w:p>
    <w:p w14:paraId="79B11030"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10. Calendarul pentru livrarea bunurilor, prestarea serviciilor sau pentru execuția lucrărilor și, dacă este posibil, durata contractului de achiziție </w:t>
      </w:r>
      <w:r w:rsidRPr="00E572D3">
        <w:rPr>
          <w:rFonts w:eastAsia="Calibri"/>
          <w:bCs/>
          <w:iCs/>
          <w:sz w:val="24"/>
          <w:szCs w:val="24"/>
          <w:lang w:val="ro-RO"/>
        </w:rPr>
        <w:t>publică</w:t>
      </w:r>
      <w:r w:rsidRPr="00E572D3">
        <w:rPr>
          <w:bCs/>
          <w:sz w:val="24"/>
          <w:szCs w:val="24"/>
          <w:lang w:val="ro-RO" w:eastAsia="en-GB"/>
        </w:rPr>
        <w:t xml:space="preserve">: </w:t>
      </w:r>
    </w:p>
    <w:p w14:paraId="18C6F41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a) în cazul unui acord-cadru, se indică durata prevăzută a acordului-cadru, precizând, după caz, motivele care justifică o durată de peste 4 ani. Se indică, dacă este posibil, valoarea sau ordinul de mărime și frecvența contractelor de achiziții publice care urmează a fi atribuite, numărul și, după caz, numărul maxim propus de operatori economici</w:t>
      </w:r>
      <w:r w:rsidRPr="00E572D3">
        <w:rPr>
          <w:b/>
          <w:bCs/>
          <w:sz w:val="24"/>
          <w:szCs w:val="24"/>
          <w:lang w:val="ro-RO" w:eastAsia="en-GB"/>
        </w:rPr>
        <w:t xml:space="preserve"> </w:t>
      </w:r>
      <w:r w:rsidRPr="00E572D3">
        <w:rPr>
          <w:bCs/>
          <w:sz w:val="24"/>
          <w:szCs w:val="24"/>
          <w:lang w:val="ro-RO" w:eastAsia="en-GB"/>
        </w:rPr>
        <w:t>care urmează să participe;</w:t>
      </w:r>
    </w:p>
    <w:p w14:paraId="238E79CF"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b) în cazul în care este vorba de un sistem dinamic de achiziții, se indică durata prevăzută a sistemului respectiv; se indică, dacă este posibil, valoarea sau ordinul de mărime și frecvența contractelor de achiziții publice care urmează să fie atribuite.</w:t>
      </w:r>
    </w:p>
    <w:p w14:paraId="2BE3CC2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11. Condițiile de participare, inclusiv:</w:t>
      </w:r>
    </w:p>
    <w:p w14:paraId="5D1C82E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a) dacă este cazul, se menționează faptul că respectivul contract de achiziție </w:t>
      </w:r>
      <w:r w:rsidRPr="00E572D3">
        <w:rPr>
          <w:rFonts w:eastAsia="Calibri"/>
          <w:bCs/>
          <w:iCs/>
          <w:sz w:val="24"/>
          <w:szCs w:val="24"/>
          <w:lang w:val="ro-RO"/>
        </w:rPr>
        <w:t>publică</w:t>
      </w:r>
      <w:r w:rsidRPr="00E572D3">
        <w:rPr>
          <w:bCs/>
          <w:sz w:val="24"/>
          <w:szCs w:val="24"/>
          <w:lang w:val="ro-RO" w:eastAsia="en-GB"/>
        </w:rPr>
        <w:t xml:space="preserve"> este rezervat unor ateliere protejate sau întreprinderi sociale de inserție;</w:t>
      </w:r>
    </w:p>
    <w:p w14:paraId="29D5FC3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b) dacă este cazul, se menționează faptul că prestarea serviciului este rezervată unei profesii anumite în temeiul unor acte cu putere de lege sau al unor acte administrative; se menționează respectivele acte cu putere de lege și acte administrative;</w:t>
      </w:r>
    </w:p>
    <w:p w14:paraId="11394A8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c) o listă și o scurtă descriere a criteriilor privind eligibilitatea operatorilor economici, care pot determina eliminarea acestora și a criteriilor de selecție; nivelul minim (nivelurile minime) al (ale) cerințelor eventual impuse; se menționează informațiile solicitate (declarații pe propria răspundere, documentație).</w:t>
      </w:r>
    </w:p>
    <w:p w14:paraId="5DEC1B1E"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12. Tipul procedurii de atribuire; dacă este cazul, motivele utilizării unei proceduri accelerate (în cazul licitației deschise, al licitației restrânse și al negocierii competitive).</w:t>
      </w:r>
    </w:p>
    <w:p w14:paraId="45D92916"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13. Dacă este cazul, se menționează faptul că este vorba de:</w:t>
      </w:r>
    </w:p>
    <w:p w14:paraId="370A0D01"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a) un acord-cadru;</w:t>
      </w:r>
    </w:p>
    <w:p w14:paraId="17A1BB4E"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b) un sistem dinamic de achiziții;</w:t>
      </w:r>
    </w:p>
    <w:p w14:paraId="329B4DF1"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c) o licitație electronică (în cazul licitației deschise, al licitației restrânse sau al negocierii competitive).</w:t>
      </w:r>
    </w:p>
    <w:p w14:paraId="0B09EFA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lastRenderedPageBreak/>
        <w:t xml:space="preserve">14. În cazul în care contractul de achiziție </w:t>
      </w:r>
      <w:r w:rsidRPr="00E572D3">
        <w:rPr>
          <w:rFonts w:eastAsia="Calibri"/>
          <w:bCs/>
          <w:iCs/>
          <w:sz w:val="24"/>
          <w:szCs w:val="24"/>
          <w:lang w:val="ro-RO"/>
        </w:rPr>
        <w:t>publică</w:t>
      </w:r>
      <w:r w:rsidRPr="00E572D3">
        <w:rPr>
          <w:bCs/>
          <w:sz w:val="24"/>
          <w:szCs w:val="24"/>
          <w:lang w:val="ro-RO" w:eastAsia="en-GB"/>
        </w:rPr>
        <w:t xml:space="preserve"> este împărțit în loturi, se menționează dacă este posibilă depunerea de oferte pentru un singur lot, pentru mai multe loturi sau pentru toate loturile. Se indică orice posibile limitări privind numărul de loturi care pot fi atribuite aceluiași ofertant. În cazul în care contractul nu este împărțit în loturi,</w:t>
      </w:r>
      <w:r w:rsidRPr="00E572D3">
        <w:rPr>
          <w:b/>
          <w:bCs/>
          <w:sz w:val="24"/>
          <w:szCs w:val="24"/>
          <w:lang w:val="ro-RO" w:eastAsia="en-GB"/>
        </w:rPr>
        <w:t xml:space="preserve"> </w:t>
      </w:r>
      <w:r w:rsidRPr="00E572D3">
        <w:rPr>
          <w:bCs/>
          <w:sz w:val="24"/>
          <w:szCs w:val="24"/>
          <w:lang w:val="ro-RO" w:eastAsia="en-GB"/>
        </w:rPr>
        <w:t>se indică motivele, cu excepția cazului în care această informație este furnizată în darea de seamă.</w:t>
      </w:r>
    </w:p>
    <w:p w14:paraId="173B3F4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15. După caz, orice garanții solicitate.</w:t>
      </w:r>
    </w:p>
    <w:p w14:paraId="56F7FC7B"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16. Principalele modalități de finanțare și de plată și/sau trimiterile la dispozițiile care le conțin.</w:t>
      </w:r>
    </w:p>
    <w:p w14:paraId="029DEB88"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17. Pentru procedurile de licitație restrânsă, de negociere competitivă, de dialog competitiv sau de parteneriat pentru inovare, în cazul în care se recurge la opțiunea de reducere a numărului de candidați ce vor fi invitați să depună oferte, să negocieze ori să participe la dialogul competitiv, se indică numărul minim și, după caz, numărul maxim propus de candidați și criteriile obiective ce urmează să fie aplicate pentru alegerea candidaților respectivi.</w:t>
      </w:r>
    </w:p>
    <w:p w14:paraId="7F6162A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18. Pentru procedurile de negociere competitivă, de dialog competitiv și de parteneriat pentru inovare, se indică, după caz, recurgerea la o procedură care se derulează în etape succesive, pentru a reduce în mod progresiv numărul de oferte care urmează a fi negociate sau de soluții care urmează a fi discutate.</w:t>
      </w:r>
    </w:p>
    <w:p w14:paraId="5612548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19. Condițiile speciale la care este supusă realizarea contractului de achiziție </w:t>
      </w:r>
      <w:r w:rsidRPr="00E572D3">
        <w:rPr>
          <w:rFonts w:eastAsia="Calibri"/>
          <w:bCs/>
          <w:iCs/>
          <w:sz w:val="24"/>
          <w:szCs w:val="24"/>
          <w:lang w:val="ro-RO"/>
        </w:rPr>
        <w:t>publică</w:t>
      </w:r>
      <w:r w:rsidRPr="00E572D3">
        <w:rPr>
          <w:bCs/>
          <w:sz w:val="24"/>
          <w:szCs w:val="24"/>
          <w:lang w:val="ro-RO" w:eastAsia="en-GB"/>
        </w:rPr>
        <w:t>, după caz.</w:t>
      </w:r>
    </w:p>
    <w:p w14:paraId="1841578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20. Criteriile care urmează să fie utilizate pentru atribuirea contractului de achiziție </w:t>
      </w:r>
      <w:r w:rsidRPr="00E572D3">
        <w:rPr>
          <w:rFonts w:eastAsia="Calibri"/>
          <w:bCs/>
          <w:iCs/>
          <w:sz w:val="24"/>
          <w:szCs w:val="24"/>
          <w:lang w:val="ro-RO"/>
        </w:rPr>
        <w:t>publică</w:t>
      </w:r>
      <w:r w:rsidRPr="00E572D3">
        <w:rPr>
          <w:bCs/>
          <w:sz w:val="24"/>
          <w:szCs w:val="24"/>
          <w:lang w:val="ro-RO" w:eastAsia="en-GB"/>
        </w:rPr>
        <w:t>/ contractelor de achiziții publice. Cu excepția cazului în care oferta cea mai avantajoasă din punct de vedere economic este identificată doar pe baza prețului, se menționează criteriile corespunzătoare ofertei celei mai avantajoase din punct de vedere economic, precum și ponderea lor, dacă acestea nu figurează în caietele de sarcini sau, în cazul dialogului competitiv, în documentul descriptiv.</w:t>
      </w:r>
    </w:p>
    <w:p w14:paraId="1DC8588C"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21. Termenul-limită de primire a ofertelor (în cazul licitației deschise) sau a cererilor de participare (în cazul licitației restrânse, negocierii competitive, sistemului dinamic de achiziții, dialogului competitiv, parteneriatului pentru inovare).</w:t>
      </w:r>
    </w:p>
    <w:p w14:paraId="29F9BFAA"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22. Adresa la care trebuie transmise ofertele sau cererile de participare.</w:t>
      </w:r>
    </w:p>
    <w:p w14:paraId="6D3A9733"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23. În cazul licitației deschise:</w:t>
      </w:r>
    </w:p>
    <w:p w14:paraId="7BC77370"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a) perioada de timp în care ofertantul trebuie să își mențină oferta;</w:t>
      </w:r>
    </w:p>
    <w:p w14:paraId="2DA48FE4"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b) data, ora și locul deschiderii ofertelor;</w:t>
      </w:r>
    </w:p>
    <w:p w14:paraId="1D30EF94"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c) persoanele autorizate să fie prezente la această deschidere.</w:t>
      </w:r>
    </w:p>
    <w:p w14:paraId="7963BAC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24. Limba sau limbile în care trebuie redactate ofertele sau cererile de participare.</w:t>
      </w:r>
    </w:p>
    <w:p w14:paraId="020094F3"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25. După caz, se menționează faptul că:</w:t>
      </w:r>
    </w:p>
    <w:p w14:paraId="6B5ED41D"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a) se acceptă depunerea electronică a ofertelor sau a cererilor de participare;</w:t>
      </w:r>
    </w:p>
    <w:p w14:paraId="2FFC5253"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b) se va utiliza sistemul de comenzi electronice;</w:t>
      </w:r>
    </w:p>
    <w:p w14:paraId="7DEF196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c) se va accepta facturarea electronică;</w:t>
      </w:r>
    </w:p>
    <w:p w14:paraId="58ADBFA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d) se vor utiliza plățile electronice.</w:t>
      </w:r>
    </w:p>
    <w:p w14:paraId="1C9D8D95"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26. Se specifică dacă respectivul contract de achiziție </w:t>
      </w:r>
      <w:r w:rsidRPr="00E572D3">
        <w:rPr>
          <w:rFonts w:eastAsia="Calibri"/>
          <w:bCs/>
          <w:iCs/>
          <w:sz w:val="24"/>
          <w:szCs w:val="24"/>
          <w:lang w:val="ro-RO"/>
        </w:rPr>
        <w:t>publică</w:t>
      </w:r>
      <w:r w:rsidRPr="00E572D3">
        <w:rPr>
          <w:bCs/>
          <w:sz w:val="24"/>
          <w:szCs w:val="24"/>
          <w:lang w:val="ro-RO" w:eastAsia="en-GB"/>
        </w:rPr>
        <w:t xml:space="preserve"> se referă la un proiect și/sau la un program finanțat din fondurile Uniunii Europene și/sau din fondurile unuia dintre statele membre ale UE.</w:t>
      </w:r>
    </w:p>
    <w:p w14:paraId="634D5DE6"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27. Denumirea și adresa organismului de soluționare a contestațiilor și, după caz, de mediere. Informații exacte privind termenele procedurilor de contestare sau, după caz, denumirea, adresa, numărul de telefon, numărul de fax și adresa de e-mail ale biroului de la care pot fi obținute aceste informații.</w:t>
      </w:r>
    </w:p>
    <w:p w14:paraId="2A18396A"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 xml:space="preserve">28. </w:t>
      </w:r>
      <w:r w:rsidRPr="00E572D3">
        <w:rPr>
          <w:rFonts w:eastAsia="Calibri"/>
          <w:bCs/>
          <w:sz w:val="24"/>
          <w:szCs w:val="24"/>
          <w:lang w:val="ro-RO" w:eastAsia="ro-RO"/>
        </w:rPr>
        <w:t>Data/datele și referința/referințele publicațiilor anterioare în Jurnalul Oficial al Uniunii Europene privind contractul</w:t>
      </w:r>
      <w:r w:rsidRPr="00E572D3">
        <w:rPr>
          <w:bCs/>
          <w:sz w:val="24"/>
          <w:szCs w:val="24"/>
          <w:lang w:val="ro-RO" w:eastAsia="en-GB"/>
        </w:rPr>
        <w:t xml:space="preserve"> de achiziție </w:t>
      </w:r>
      <w:r w:rsidRPr="00E572D3">
        <w:rPr>
          <w:rFonts w:eastAsia="Calibri"/>
          <w:bCs/>
          <w:iCs/>
          <w:sz w:val="24"/>
          <w:szCs w:val="24"/>
          <w:lang w:val="ro-RO"/>
        </w:rPr>
        <w:t>publică</w:t>
      </w:r>
      <w:r w:rsidRPr="00E572D3">
        <w:rPr>
          <w:rFonts w:eastAsia="Calibri"/>
          <w:bCs/>
          <w:sz w:val="24"/>
          <w:szCs w:val="24"/>
          <w:lang w:val="ro-RO" w:eastAsia="ro-RO"/>
        </w:rPr>
        <w:t xml:space="preserve">/contractele </w:t>
      </w:r>
      <w:r w:rsidRPr="00E572D3">
        <w:rPr>
          <w:bCs/>
          <w:sz w:val="24"/>
          <w:szCs w:val="24"/>
          <w:lang w:val="ro-RO" w:eastAsia="en-GB"/>
        </w:rPr>
        <w:t>de achiziții publice</w:t>
      </w:r>
      <w:r w:rsidRPr="00E572D3">
        <w:rPr>
          <w:rFonts w:eastAsia="Calibri"/>
          <w:bCs/>
          <w:sz w:val="24"/>
          <w:szCs w:val="24"/>
          <w:lang w:val="ro-RO" w:eastAsia="ro-RO"/>
        </w:rPr>
        <w:t xml:space="preserve"> la care se referă anunțul respectiv.</w:t>
      </w:r>
    </w:p>
    <w:p w14:paraId="7E5F70D2"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29. În cazul achizițiilor publice periodice, calendarul estimat de publicare a anunțurilor viitoare.</w:t>
      </w:r>
    </w:p>
    <w:p w14:paraId="2E7815E9"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30. Data publicării anunțului de intenție sau, după caz, precizarea că nu a fost publicat un astfel de anunț.</w:t>
      </w:r>
    </w:p>
    <w:p w14:paraId="4FED5B98"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lastRenderedPageBreak/>
        <w:t>31. Data transmiterii spre publicare a anunțului de participare.</w:t>
      </w:r>
    </w:p>
    <w:p w14:paraId="5FDFA8CA"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32.</w:t>
      </w:r>
      <w:r w:rsidRPr="00E572D3">
        <w:rPr>
          <w:rFonts w:eastAsia="Calibri"/>
          <w:sz w:val="24"/>
          <w:szCs w:val="24"/>
          <w:lang w:val="ro-RO"/>
        </w:rPr>
        <w:t xml:space="preserve"> </w:t>
      </w:r>
      <w:r w:rsidRPr="00E572D3">
        <w:rPr>
          <w:bCs/>
          <w:sz w:val="24"/>
          <w:szCs w:val="24"/>
          <w:lang w:val="ro-RO" w:eastAsia="en-GB"/>
        </w:rPr>
        <w:t xml:space="preserve">Se specifică dacă contractul de achiziție </w:t>
      </w:r>
      <w:r w:rsidRPr="00E572D3">
        <w:rPr>
          <w:rFonts w:eastAsia="Calibri"/>
          <w:bCs/>
          <w:iCs/>
          <w:sz w:val="24"/>
          <w:szCs w:val="24"/>
          <w:lang w:val="ro-RO"/>
        </w:rPr>
        <w:t>publică</w:t>
      </w:r>
      <w:r w:rsidRPr="00E572D3">
        <w:rPr>
          <w:bCs/>
          <w:sz w:val="24"/>
          <w:szCs w:val="24"/>
          <w:lang w:val="ro-RO" w:eastAsia="en-GB"/>
        </w:rPr>
        <w:t xml:space="preserve"> intră sub incidența Acordului privind achizițiile publice </w:t>
      </w:r>
      <w:r w:rsidRPr="00E572D3">
        <w:rPr>
          <w:rFonts w:eastAsia="Calibri"/>
          <w:bCs/>
          <w:iCs/>
          <w:sz w:val="24"/>
          <w:szCs w:val="24"/>
          <w:lang w:val="ro-RO"/>
        </w:rPr>
        <w:t>al OMC</w:t>
      </w:r>
      <w:r w:rsidRPr="00E572D3">
        <w:rPr>
          <w:bCs/>
          <w:sz w:val="24"/>
          <w:szCs w:val="24"/>
          <w:lang w:val="ro-RO" w:eastAsia="en-GB"/>
        </w:rPr>
        <w:t>.</w:t>
      </w:r>
    </w:p>
    <w:p w14:paraId="225B2DAB" w14:textId="77777777" w:rsidR="00E572D3" w:rsidRPr="00E572D3" w:rsidRDefault="00E572D3" w:rsidP="00E572D3">
      <w:pPr>
        <w:widowControl w:val="0"/>
        <w:tabs>
          <w:tab w:val="left" w:pos="993"/>
        </w:tabs>
        <w:ind w:firstLine="709"/>
        <w:rPr>
          <w:bCs/>
          <w:sz w:val="24"/>
          <w:szCs w:val="24"/>
          <w:lang w:val="ro-RO" w:eastAsia="en-GB"/>
        </w:rPr>
      </w:pPr>
      <w:r w:rsidRPr="00E572D3">
        <w:rPr>
          <w:bCs/>
          <w:sz w:val="24"/>
          <w:szCs w:val="24"/>
          <w:lang w:val="ro-RO" w:eastAsia="en-GB"/>
        </w:rPr>
        <w:t>33. Orice alte informații relevante.</w:t>
      </w:r>
    </w:p>
    <w:p w14:paraId="68BC2B39" w14:textId="77777777" w:rsidR="00B32DE8" w:rsidRPr="00E572D3" w:rsidRDefault="00B32DE8">
      <w:pPr>
        <w:rPr>
          <w:sz w:val="24"/>
          <w:szCs w:val="24"/>
        </w:rPr>
      </w:pPr>
    </w:p>
    <w:sectPr w:rsidR="00B32DE8" w:rsidRPr="00E572D3"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2D3"/>
    <w:rsid w:val="003A6D73"/>
    <w:rsid w:val="0058181B"/>
    <w:rsid w:val="005C0197"/>
    <w:rsid w:val="006D1F82"/>
    <w:rsid w:val="00812258"/>
    <w:rsid w:val="00A77834"/>
    <w:rsid w:val="00B32DE8"/>
    <w:rsid w:val="00D40252"/>
    <w:rsid w:val="00DC3938"/>
    <w:rsid w:val="00E572D3"/>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4C5B4"/>
  <w15:chartTrackingRefBased/>
  <w15:docId w15:val="{481B7F56-CD06-4425-BF4E-E85C476C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2D3"/>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E572D3"/>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E572D3"/>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E572D3"/>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E572D3"/>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lang w:val="ru-RU"/>
      <w14:ligatures w14:val="standardContextual"/>
    </w:rPr>
  </w:style>
  <w:style w:type="paragraph" w:styleId="5">
    <w:name w:val="heading 5"/>
    <w:basedOn w:val="a"/>
    <w:next w:val="a"/>
    <w:link w:val="50"/>
    <w:uiPriority w:val="9"/>
    <w:semiHidden/>
    <w:unhideWhenUsed/>
    <w:qFormat/>
    <w:rsid w:val="00E572D3"/>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lang w:val="ru-RU"/>
      <w14:ligatures w14:val="standardContextual"/>
    </w:rPr>
  </w:style>
  <w:style w:type="paragraph" w:styleId="6">
    <w:name w:val="heading 6"/>
    <w:basedOn w:val="a"/>
    <w:next w:val="a"/>
    <w:link w:val="60"/>
    <w:uiPriority w:val="9"/>
    <w:semiHidden/>
    <w:unhideWhenUsed/>
    <w:qFormat/>
    <w:rsid w:val="00E572D3"/>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lang w:val="ru-RU"/>
      <w14:ligatures w14:val="standardContextual"/>
    </w:rPr>
  </w:style>
  <w:style w:type="paragraph" w:styleId="7">
    <w:name w:val="heading 7"/>
    <w:basedOn w:val="a"/>
    <w:next w:val="a"/>
    <w:link w:val="70"/>
    <w:uiPriority w:val="9"/>
    <w:semiHidden/>
    <w:unhideWhenUsed/>
    <w:qFormat/>
    <w:rsid w:val="00E572D3"/>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lang w:val="ru-RU"/>
      <w14:ligatures w14:val="standardContextual"/>
    </w:rPr>
  </w:style>
  <w:style w:type="paragraph" w:styleId="8">
    <w:name w:val="heading 8"/>
    <w:basedOn w:val="a"/>
    <w:next w:val="a"/>
    <w:link w:val="80"/>
    <w:uiPriority w:val="9"/>
    <w:semiHidden/>
    <w:unhideWhenUsed/>
    <w:qFormat/>
    <w:rsid w:val="00E572D3"/>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lang w:val="ru-RU"/>
      <w14:ligatures w14:val="standardContextual"/>
    </w:rPr>
  </w:style>
  <w:style w:type="paragraph" w:styleId="9">
    <w:name w:val="heading 9"/>
    <w:basedOn w:val="a"/>
    <w:next w:val="a"/>
    <w:link w:val="90"/>
    <w:uiPriority w:val="9"/>
    <w:semiHidden/>
    <w:unhideWhenUsed/>
    <w:qFormat/>
    <w:rsid w:val="00E572D3"/>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2D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E572D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E572D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E572D3"/>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E572D3"/>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E572D3"/>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E572D3"/>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E572D3"/>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E572D3"/>
    <w:rPr>
      <w:rFonts w:eastAsiaTheme="majorEastAsia" w:cstheme="majorBidi"/>
      <w:color w:val="272727" w:themeColor="text1" w:themeTint="D8"/>
      <w:sz w:val="24"/>
    </w:rPr>
  </w:style>
  <w:style w:type="paragraph" w:styleId="a3">
    <w:name w:val="Title"/>
    <w:basedOn w:val="a"/>
    <w:next w:val="a"/>
    <w:link w:val="a4"/>
    <w:uiPriority w:val="10"/>
    <w:qFormat/>
    <w:rsid w:val="00E572D3"/>
    <w:pPr>
      <w:spacing w:after="80"/>
      <w:ind w:firstLine="0"/>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E572D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72D3"/>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E572D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572D3"/>
    <w:pPr>
      <w:spacing w:before="160" w:after="160" w:line="276" w:lineRule="auto"/>
      <w:ind w:firstLine="0"/>
      <w:jc w:val="center"/>
    </w:pPr>
    <w:rPr>
      <w:rFonts w:eastAsiaTheme="minorHAnsi" w:cstheme="minorBidi"/>
      <w:i/>
      <w:iCs/>
      <w:color w:val="404040" w:themeColor="text1" w:themeTint="BF"/>
      <w:kern w:val="2"/>
      <w:sz w:val="24"/>
      <w:szCs w:val="22"/>
      <w:lang w:val="ru-RU"/>
      <w14:ligatures w14:val="standardContextual"/>
    </w:rPr>
  </w:style>
  <w:style w:type="character" w:customStyle="1" w:styleId="22">
    <w:name w:val="Цитата 2 Знак"/>
    <w:basedOn w:val="a0"/>
    <w:link w:val="21"/>
    <w:uiPriority w:val="29"/>
    <w:rsid w:val="00E572D3"/>
    <w:rPr>
      <w:rFonts w:ascii="Times New Roman" w:hAnsi="Times New Roman"/>
      <w:i/>
      <w:iCs/>
      <w:color w:val="404040" w:themeColor="text1" w:themeTint="BF"/>
      <w:sz w:val="24"/>
    </w:rPr>
  </w:style>
  <w:style w:type="paragraph" w:styleId="a7">
    <w:name w:val="List Paragraph"/>
    <w:basedOn w:val="a"/>
    <w:uiPriority w:val="34"/>
    <w:qFormat/>
    <w:rsid w:val="00E572D3"/>
    <w:pPr>
      <w:spacing w:after="200" w:line="276" w:lineRule="auto"/>
      <w:ind w:left="720" w:firstLine="0"/>
      <w:contextualSpacing/>
    </w:pPr>
    <w:rPr>
      <w:rFonts w:eastAsiaTheme="minorHAnsi" w:cstheme="minorBidi"/>
      <w:kern w:val="2"/>
      <w:sz w:val="24"/>
      <w:szCs w:val="22"/>
      <w:lang w:val="ru-RU"/>
      <w14:ligatures w14:val="standardContextual"/>
    </w:rPr>
  </w:style>
  <w:style w:type="character" w:styleId="a8">
    <w:name w:val="Intense Emphasis"/>
    <w:basedOn w:val="a0"/>
    <w:uiPriority w:val="21"/>
    <w:qFormat/>
    <w:rsid w:val="00E572D3"/>
    <w:rPr>
      <w:i/>
      <w:iCs/>
      <w:color w:val="365F91" w:themeColor="accent1" w:themeShade="BF"/>
    </w:rPr>
  </w:style>
  <w:style w:type="paragraph" w:styleId="a9">
    <w:name w:val="Intense Quote"/>
    <w:basedOn w:val="a"/>
    <w:next w:val="a"/>
    <w:link w:val="aa"/>
    <w:uiPriority w:val="30"/>
    <w:qFormat/>
    <w:rsid w:val="00E572D3"/>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lang w:val="ru-RU"/>
      <w14:ligatures w14:val="standardContextual"/>
    </w:rPr>
  </w:style>
  <w:style w:type="character" w:customStyle="1" w:styleId="aa">
    <w:name w:val="Выделенная цитата Знак"/>
    <w:basedOn w:val="a0"/>
    <w:link w:val="a9"/>
    <w:uiPriority w:val="30"/>
    <w:rsid w:val="00E572D3"/>
    <w:rPr>
      <w:rFonts w:ascii="Times New Roman" w:hAnsi="Times New Roman"/>
      <w:i/>
      <w:iCs/>
      <w:color w:val="365F91" w:themeColor="accent1" w:themeShade="BF"/>
      <w:sz w:val="24"/>
    </w:rPr>
  </w:style>
  <w:style w:type="character" w:styleId="ab">
    <w:name w:val="Intense Reference"/>
    <w:basedOn w:val="a0"/>
    <w:uiPriority w:val="32"/>
    <w:qFormat/>
    <w:rsid w:val="00E572D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1169</Words>
  <Characters>6775</Characters>
  <Application>Microsoft Office Word</Application>
  <DocSecurity>0</DocSecurity>
  <Lines>110</Lines>
  <Paragraphs>51</Paragraphs>
  <ScaleCrop>false</ScaleCrop>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2</cp:revision>
  <dcterms:created xsi:type="dcterms:W3CDTF">2026-02-12T08:04:00Z</dcterms:created>
  <dcterms:modified xsi:type="dcterms:W3CDTF">2026-02-12T08:04:00Z</dcterms:modified>
</cp:coreProperties>
</file>